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DE08" w14:textId="77777777" w:rsidR="00DB704A" w:rsidRDefault="00DB704A">
      <w:pPr>
        <w:rPr>
          <w:b/>
          <w:bCs/>
        </w:rPr>
      </w:pPr>
      <w:r>
        <w:rPr>
          <w:b/>
          <w:bCs/>
          <w:noProof/>
        </w:rPr>
        <w:drawing>
          <wp:inline distT="0" distB="0" distL="0" distR="0" wp14:anchorId="3999E14C" wp14:editId="31765ED8">
            <wp:extent cx="6877050" cy="1921313"/>
            <wp:effectExtent l="0" t="0" r="0" b="3175"/>
            <wp:docPr id="712415373" name="Picture 1" descr="A city skylin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415373" name="Picture 1" descr="A city skyline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38887" cy="1938589"/>
                    </a:xfrm>
                    <a:prstGeom prst="rect">
                      <a:avLst/>
                    </a:prstGeom>
                  </pic:spPr>
                </pic:pic>
              </a:graphicData>
            </a:graphic>
          </wp:inline>
        </w:drawing>
      </w:r>
    </w:p>
    <w:p w14:paraId="7B8760E1" w14:textId="319E1B23" w:rsidR="00A41D6E" w:rsidRDefault="00F27E40">
      <w:pPr>
        <w:rPr>
          <w:b/>
          <w:bCs/>
        </w:rPr>
      </w:pPr>
      <w:r>
        <w:rPr>
          <w:b/>
          <w:bCs/>
        </w:rPr>
        <w:t xml:space="preserve">Congratulations! You’ve Closed-What Post Closing Documents Come From Title? </w:t>
      </w:r>
    </w:p>
    <w:p w14:paraId="1161F5B1" w14:textId="77777777" w:rsidR="005E4896" w:rsidRDefault="005E4896">
      <w:r w:rsidRPr="005E4896">
        <w:t xml:space="preserve">After closing on a transaction, the title company will send out real estate agent, buyer, seller and lender title packages. </w:t>
      </w:r>
      <w:r>
        <w:t xml:space="preserve">These documents can vary slightly from title company to title company, but these are the general documents included. </w:t>
      </w:r>
    </w:p>
    <w:p w14:paraId="7476B9D6" w14:textId="3A0D49CA" w:rsidR="00F27E40" w:rsidRDefault="005E4896" w:rsidP="005E4896">
      <w:pPr>
        <w:spacing w:after="0" w:line="240" w:lineRule="auto"/>
      </w:pPr>
      <w:r w:rsidRPr="005E4896">
        <w:rPr>
          <w:b/>
          <w:bCs/>
          <w:u w:val="single"/>
        </w:rPr>
        <w:t>The documents in the agent’s package</w:t>
      </w:r>
      <w:r w:rsidR="00F707D2">
        <w:rPr>
          <w:b/>
          <w:bCs/>
          <w:u w:val="single"/>
        </w:rPr>
        <w:t xml:space="preserve"> typically</w:t>
      </w:r>
      <w:r w:rsidRPr="005E4896">
        <w:rPr>
          <w:b/>
          <w:bCs/>
          <w:u w:val="single"/>
        </w:rPr>
        <w:t xml:space="preserve"> </w:t>
      </w:r>
      <w:r>
        <w:rPr>
          <w:b/>
          <w:bCs/>
          <w:u w:val="single"/>
        </w:rPr>
        <w:t>include</w:t>
      </w:r>
      <w:r w:rsidR="00F707D2">
        <w:rPr>
          <w:b/>
          <w:bCs/>
          <w:u w:val="single"/>
        </w:rPr>
        <w:t>s</w:t>
      </w:r>
      <w:r>
        <w:t>:</w:t>
      </w:r>
    </w:p>
    <w:p w14:paraId="354ACAE0" w14:textId="25C5A8D5" w:rsidR="005E4896" w:rsidRDefault="005E4896" w:rsidP="00DA34D6">
      <w:pPr>
        <w:pStyle w:val="ListParagraph"/>
        <w:numPr>
          <w:ilvl w:val="0"/>
          <w:numId w:val="2"/>
        </w:numPr>
        <w:spacing w:after="0" w:line="240" w:lineRule="auto"/>
      </w:pPr>
      <w:r>
        <w:t xml:space="preserve">Settlement Statements </w:t>
      </w:r>
    </w:p>
    <w:p w14:paraId="79152B1E" w14:textId="69D2A04F" w:rsidR="005E4896" w:rsidRDefault="005E4896" w:rsidP="00DA34D6">
      <w:pPr>
        <w:pStyle w:val="ListParagraph"/>
        <w:numPr>
          <w:ilvl w:val="0"/>
          <w:numId w:val="2"/>
        </w:numPr>
        <w:spacing w:after="0" w:line="240" w:lineRule="auto"/>
      </w:pPr>
      <w:r>
        <w:t>Closing Instructions-either agent or title company</w:t>
      </w:r>
    </w:p>
    <w:p w14:paraId="11B44467" w14:textId="4779F502" w:rsidR="005E4896" w:rsidRDefault="005E4896" w:rsidP="00DA34D6">
      <w:pPr>
        <w:pStyle w:val="ListParagraph"/>
        <w:numPr>
          <w:ilvl w:val="0"/>
          <w:numId w:val="2"/>
        </w:numPr>
        <w:spacing w:after="0" w:line="240" w:lineRule="auto"/>
      </w:pPr>
      <w:r>
        <w:t>Seller and Buyer Affidavit and Indemnities-protects title company and gives assurances that buyer and seller have not created any liens</w:t>
      </w:r>
    </w:p>
    <w:p w14:paraId="1B34DA4E" w14:textId="2EC96FB0" w:rsidR="005E4896" w:rsidRDefault="005E4896" w:rsidP="00DA34D6">
      <w:pPr>
        <w:pStyle w:val="ListParagraph"/>
        <w:numPr>
          <w:ilvl w:val="0"/>
          <w:numId w:val="2"/>
        </w:numPr>
        <w:spacing w:after="0" w:line="240" w:lineRule="auto"/>
      </w:pPr>
      <w:r>
        <w:t>Water/Sewer/HOA agreement-can be combined or separate-Water and sewer bill, status letter</w:t>
      </w:r>
    </w:p>
    <w:p w14:paraId="6A10451E" w14:textId="4A82B533" w:rsidR="005E4896" w:rsidRDefault="005E4896" w:rsidP="00DA34D6">
      <w:pPr>
        <w:pStyle w:val="ListParagraph"/>
        <w:numPr>
          <w:ilvl w:val="0"/>
          <w:numId w:val="2"/>
        </w:numPr>
        <w:spacing w:after="0" w:line="240" w:lineRule="auto"/>
      </w:pPr>
      <w:r>
        <w:t>Tax Agreement (regarding final settlement/amount tabulated for property taxes)</w:t>
      </w:r>
    </w:p>
    <w:p w14:paraId="0D43B3C1" w14:textId="4EEFCEB7" w:rsidR="005E4896" w:rsidRDefault="005E4896" w:rsidP="00DA34D6">
      <w:pPr>
        <w:pStyle w:val="ListParagraph"/>
        <w:numPr>
          <w:ilvl w:val="0"/>
          <w:numId w:val="2"/>
        </w:numPr>
        <w:spacing w:after="0" w:line="240" w:lineRule="auto"/>
      </w:pPr>
      <w:r>
        <w:t>Tax Certificate</w:t>
      </w:r>
    </w:p>
    <w:p w14:paraId="063A1991" w14:textId="288180C3" w:rsidR="005E4896" w:rsidRDefault="005E4896" w:rsidP="00DA34D6">
      <w:pPr>
        <w:pStyle w:val="ListParagraph"/>
        <w:numPr>
          <w:ilvl w:val="0"/>
          <w:numId w:val="2"/>
        </w:numPr>
        <w:spacing w:after="0" w:line="240" w:lineRule="auto"/>
      </w:pPr>
      <w:r>
        <w:t xml:space="preserve">Privacy Policy-what information is disclosed </w:t>
      </w:r>
    </w:p>
    <w:p w14:paraId="6B31CB48" w14:textId="469A5DC8" w:rsidR="005E4896" w:rsidRDefault="005E4896" w:rsidP="00DA34D6">
      <w:pPr>
        <w:pStyle w:val="ListParagraph"/>
        <w:numPr>
          <w:ilvl w:val="0"/>
          <w:numId w:val="2"/>
        </w:numPr>
        <w:spacing w:after="0" w:line="240" w:lineRule="auto"/>
      </w:pPr>
      <w:r>
        <w:t>Interest Escrow Agreement</w:t>
      </w:r>
    </w:p>
    <w:p w14:paraId="1AF8C85E" w14:textId="2AFBEBA3" w:rsidR="005E4896" w:rsidRDefault="005E4896" w:rsidP="00DA34D6">
      <w:pPr>
        <w:pStyle w:val="ListParagraph"/>
        <w:numPr>
          <w:ilvl w:val="0"/>
          <w:numId w:val="2"/>
        </w:numPr>
        <w:spacing w:after="0" w:line="240" w:lineRule="auto"/>
      </w:pPr>
      <w:r>
        <w:t>Bill of Sale</w:t>
      </w:r>
    </w:p>
    <w:p w14:paraId="0EB977EE" w14:textId="065AA861" w:rsidR="005E4896" w:rsidRDefault="005E4896" w:rsidP="00DA34D6">
      <w:pPr>
        <w:pStyle w:val="ListParagraph"/>
        <w:numPr>
          <w:ilvl w:val="0"/>
          <w:numId w:val="2"/>
        </w:numPr>
        <w:spacing w:after="0" w:line="240" w:lineRule="auto"/>
      </w:pPr>
      <w:r>
        <w:t>Deed (Warranty Deed, Special Warranty Deed, Personal Reps Deed)</w:t>
      </w:r>
    </w:p>
    <w:p w14:paraId="422DD206" w14:textId="7099DAC6" w:rsidR="005E4896" w:rsidRDefault="005E4896" w:rsidP="00DA34D6">
      <w:pPr>
        <w:pStyle w:val="ListParagraph"/>
        <w:numPr>
          <w:ilvl w:val="0"/>
          <w:numId w:val="2"/>
        </w:numPr>
        <w:spacing w:after="0" w:line="240" w:lineRule="auto"/>
      </w:pPr>
      <w:r>
        <w:t>TD-1000</w:t>
      </w:r>
    </w:p>
    <w:p w14:paraId="6F7A627A" w14:textId="3438D410" w:rsidR="005E4896" w:rsidRDefault="005E4896" w:rsidP="00DA34D6">
      <w:pPr>
        <w:pStyle w:val="ListParagraph"/>
        <w:numPr>
          <w:ilvl w:val="0"/>
          <w:numId w:val="2"/>
        </w:numPr>
        <w:spacing w:after="0" w:line="240" w:lineRule="auto"/>
      </w:pPr>
      <w:r>
        <w:t>Miscellaneous docs relevant to the transaction</w:t>
      </w:r>
      <w:r w:rsidR="00DA34D6">
        <w:t xml:space="preserve"> (statement of authority, power of attorney, etc)</w:t>
      </w:r>
    </w:p>
    <w:p w14:paraId="4A0F5F0C" w14:textId="5A1552E4" w:rsidR="00503A98" w:rsidRDefault="00457622" w:rsidP="00DA34D6">
      <w:pPr>
        <w:pStyle w:val="ListParagraph"/>
        <w:numPr>
          <w:ilvl w:val="0"/>
          <w:numId w:val="2"/>
        </w:numPr>
        <w:spacing w:after="0" w:line="240" w:lineRule="auto"/>
      </w:pPr>
      <w:r>
        <w:t>Disbursement ledger</w:t>
      </w:r>
    </w:p>
    <w:p w14:paraId="1C39E65F" w14:textId="77C3B98D" w:rsidR="00457622" w:rsidRDefault="00457622" w:rsidP="00DA34D6">
      <w:pPr>
        <w:pStyle w:val="ListParagraph"/>
        <w:numPr>
          <w:ilvl w:val="0"/>
          <w:numId w:val="2"/>
        </w:numPr>
        <w:spacing w:after="0" w:line="240" w:lineRule="auto"/>
      </w:pPr>
      <w:r>
        <w:t>Copies of compensation checks (if requested)</w:t>
      </w:r>
    </w:p>
    <w:p w14:paraId="14268251" w14:textId="41EDF10E" w:rsidR="00457622" w:rsidRDefault="00457622" w:rsidP="00DA34D6">
      <w:pPr>
        <w:pStyle w:val="ListParagraph"/>
        <w:numPr>
          <w:ilvl w:val="0"/>
          <w:numId w:val="2"/>
        </w:numPr>
        <w:spacing w:after="0" w:line="240" w:lineRule="auto"/>
      </w:pPr>
      <w:r>
        <w:t>Copy of CDA if requested</w:t>
      </w:r>
    </w:p>
    <w:p w14:paraId="282D4B7A" w14:textId="77777777" w:rsidR="005E4896" w:rsidRDefault="005E4896" w:rsidP="005E4896">
      <w:pPr>
        <w:spacing w:after="0" w:line="240" w:lineRule="auto"/>
      </w:pPr>
    </w:p>
    <w:p w14:paraId="0107A57E" w14:textId="7D0F8564" w:rsidR="005E4896" w:rsidRDefault="005E4896" w:rsidP="005E4896">
      <w:pPr>
        <w:spacing w:after="0" w:line="240" w:lineRule="auto"/>
      </w:pPr>
      <w:r w:rsidRPr="00DA34D6">
        <w:rPr>
          <w:b/>
          <w:bCs/>
          <w:u w:val="single"/>
        </w:rPr>
        <w:t xml:space="preserve">For the seller’s post closing package it </w:t>
      </w:r>
      <w:r w:rsidR="00DA34D6">
        <w:rPr>
          <w:b/>
          <w:bCs/>
          <w:u w:val="single"/>
        </w:rPr>
        <w:t xml:space="preserve">typically </w:t>
      </w:r>
      <w:r w:rsidRPr="00DA34D6">
        <w:rPr>
          <w:b/>
          <w:bCs/>
          <w:u w:val="single"/>
        </w:rPr>
        <w:t>includes</w:t>
      </w:r>
      <w:r>
        <w:t>:</w:t>
      </w:r>
    </w:p>
    <w:p w14:paraId="633D4639" w14:textId="35B0BD6B" w:rsidR="005E4896" w:rsidRDefault="005E4896" w:rsidP="00DA34D6">
      <w:pPr>
        <w:pStyle w:val="ListParagraph"/>
        <w:numPr>
          <w:ilvl w:val="0"/>
          <w:numId w:val="3"/>
        </w:numPr>
        <w:spacing w:after="0" w:line="240" w:lineRule="auto"/>
      </w:pPr>
      <w:r>
        <w:t>Seller Settlement Statement</w:t>
      </w:r>
    </w:p>
    <w:p w14:paraId="64B63454" w14:textId="4450F59A" w:rsidR="005E4896" w:rsidRDefault="005E4896" w:rsidP="00DA34D6">
      <w:pPr>
        <w:pStyle w:val="ListParagraph"/>
        <w:numPr>
          <w:ilvl w:val="0"/>
          <w:numId w:val="3"/>
        </w:numPr>
        <w:spacing w:after="0" w:line="240" w:lineRule="auto"/>
      </w:pPr>
      <w:r>
        <w:t>Seller CD</w:t>
      </w:r>
    </w:p>
    <w:p w14:paraId="7FF9E523" w14:textId="330C896C" w:rsidR="005E4896" w:rsidRDefault="005E4896" w:rsidP="00DA34D6">
      <w:pPr>
        <w:pStyle w:val="ListParagraph"/>
        <w:numPr>
          <w:ilvl w:val="0"/>
          <w:numId w:val="3"/>
        </w:numPr>
        <w:spacing w:after="0" w:line="240" w:lineRule="auto"/>
      </w:pPr>
      <w:r>
        <w:t>Title Docs package signed by both parties (above)</w:t>
      </w:r>
    </w:p>
    <w:p w14:paraId="04711C82" w14:textId="1F81A20F" w:rsidR="005E4896" w:rsidRDefault="005E4896" w:rsidP="00DA34D6">
      <w:pPr>
        <w:pStyle w:val="ListParagraph"/>
        <w:numPr>
          <w:ilvl w:val="0"/>
          <w:numId w:val="3"/>
        </w:numPr>
        <w:spacing w:after="0" w:line="240" w:lineRule="auto"/>
      </w:pPr>
      <w:r>
        <w:t>Payoff information (if there is a mortgage payoff)</w:t>
      </w:r>
    </w:p>
    <w:p w14:paraId="791CF88C" w14:textId="5D19FB92" w:rsidR="005E4896" w:rsidRDefault="005E4896" w:rsidP="00DA34D6">
      <w:pPr>
        <w:pStyle w:val="ListParagraph"/>
        <w:numPr>
          <w:ilvl w:val="0"/>
          <w:numId w:val="3"/>
        </w:numPr>
        <w:spacing w:after="0" w:line="240" w:lineRule="auto"/>
      </w:pPr>
      <w:r>
        <w:t>Seller Tax Documents including the 1099, FIRPTA, and 2% withholding form</w:t>
      </w:r>
    </w:p>
    <w:p w14:paraId="2A654227" w14:textId="77777777" w:rsidR="005E4896" w:rsidRDefault="005E4896" w:rsidP="005E4896">
      <w:pPr>
        <w:spacing w:after="0" w:line="240" w:lineRule="auto"/>
      </w:pPr>
    </w:p>
    <w:p w14:paraId="7E81D149" w14:textId="155D3EF1" w:rsidR="005E4896" w:rsidRDefault="005E4896" w:rsidP="005E4896">
      <w:pPr>
        <w:spacing w:after="0" w:line="240" w:lineRule="auto"/>
      </w:pPr>
      <w:r w:rsidRPr="00DA34D6">
        <w:rPr>
          <w:b/>
          <w:bCs/>
          <w:u w:val="single"/>
        </w:rPr>
        <w:t>For the buyer’s post closing package, it typically includes</w:t>
      </w:r>
      <w:r>
        <w:t>:</w:t>
      </w:r>
    </w:p>
    <w:p w14:paraId="1B3E4889" w14:textId="2D8BB2B1" w:rsidR="005E4896" w:rsidRDefault="005E4896" w:rsidP="00DA34D6">
      <w:pPr>
        <w:pStyle w:val="ListParagraph"/>
        <w:numPr>
          <w:ilvl w:val="0"/>
          <w:numId w:val="4"/>
        </w:numPr>
        <w:spacing w:after="0" w:line="240" w:lineRule="auto"/>
      </w:pPr>
      <w:r>
        <w:t>Buyer settlement statement</w:t>
      </w:r>
    </w:p>
    <w:p w14:paraId="031ABFDE" w14:textId="460864E9" w:rsidR="005E4896" w:rsidRDefault="005E4896" w:rsidP="00DA34D6">
      <w:pPr>
        <w:pStyle w:val="ListParagraph"/>
        <w:numPr>
          <w:ilvl w:val="0"/>
          <w:numId w:val="4"/>
        </w:numPr>
        <w:spacing w:after="0" w:line="240" w:lineRule="auto"/>
      </w:pPr>
      <w:r>
        <w:t>Buyer CD</w:t>
      </w:r>
    </w:p>
    <w:p w14:paraId="5BB74D55" w14:textId="5FBD8F51" w:rsidR="005E4896" w:rsidRDefault="005E4896" w:rsidP="00DA34D6">
      <w:pPr>
        <w:pStyle w:val="ListParagraph"/>
        <w:numPr>
          <w:ilvl w:val="0"/>
          <w:numId w:val="4"/>
        </w:numPr>
        <w:spacing w:after="0" w:line="240" w:lineRule="auto"/>
      </w:pPr>
      <w:r>
        <w:t>Title docs package signed by both parties (above)</w:t>
      </w:r>
    </w:p>
    <w:p w14:paraId="7FBC2F43" w14:textId="7BC8AA79" w:rsidR="005E4896" w:rsidRDefault="005E4896" w:rsidP="00DA34D6">
      <w:pPr>
        <w:pStyle w:val="ListParagraph"/>
        <w:numPr>
          <w:ilvl w:val="0"/>
          <w:numId w:val="4"/>
        </w:numPr>
        <w:spacing w:after="0" w:line="240" w:lineRule="auto"/>
      </w:pPr>
      <w:r>
        <w:t>Loan Documents</w:t>
      </w:r>
    </w:p>
    <w:p w14:paraId="3AFC6AB0" w14:textId="584CECCB" w:rsidR="005E4896" w:rsidRDefault="005E4896" w:rsidP="00DA34D6">
      <w:pPr>
        <w:pStyle w:val="ListParagraph"/>
        <w:numPr>
          <w:ilvl w:val="0"/>
          <w:numId w:val="4"/>
        </w:numPr>
        <w:spacing w:after="0" w:line="240" w:lineRule="auto"/>
      </w:pPr>
      <w:r>
        <w:t>1</w:t>
      </w:r>
      <w:r w:rsidRPr="00DA34D6">
        <w:rPr>
          <w:vertAlign w:val="superscript"/>
        </w:rPr>
        <w:t>st</w:t>
      </w:r>
      <w:r>
        <w:t xml:space="preserve"> payment letter</w:t>
      </w:r>
      <w:r w:rsidR="00DA34D6">
        <w:t>/temporary payment coupons</w:t>
      </w:r>
    </w:p>
    <w:p w14:paraId="100CA326" w14:textId="77777777" w:rsidR="00F707D2" w:rsidRDefault="00F707D2" w:rsidP="00F707D2">
      <w:pPr>
        <w:spacing w:after="0" w:line="240" w:lineRule="auto"/>
      </w:pPr>
    </w:p>
    <w:p w14:paraId="24ED09E4" w14:textId="0F79CA3A" w:rsidR="00F707D2" w:rsidRPr="00F707D2" w:rsidRDefault="00F707D2" w:rsidP="00F707D2">
      <w:pPr>
        <w:spacing w:after="0" w:line="240" w:lineRule="auto"/>
        <w:rPr>
          <w:b/>
          <w:bCs/>
          <w:u w:val="single"/>
        </w:rPr>
      </w:pPr>
      <w:r w:rsidRPr="00F707D2">
        <w:rPr>
          <w:b/>
          <w:bCs/>
          <w:u w:val="single"/>
        </w:rPr>
        <w:t xml:space="preserve">For the Lender’s package, it typically includes: </w:t>
      </w:r>
    </w:p>
    <w:p w14:paraId="644D285E" w14:textId="62D572F5" w:rsidR="00F707D2" w:rsidRDefault="00F707D2" w:rsidP="00F707D2">
      <w:pPr>
        <w:pStyle w:val="ListParagraph"/>
        <w:numPr>
          <w:ilvl w:val="0"/>
          <w:numId w:val="5"/>
        </w:numPr>
        <w:spacing w:after="0" w:line="240" w:lineRule="auto"/>
      </w:pPr>
      <w:r>
        <w:t>Signed loan documents</w:t>
      </w:r>
    </w:p>
    <w:p w14:paraId="18C400CC" w14:textId="068C3A1E" w:rsidR="00F707D2" w:rsidRDefault="00F707D2" w:rsidP="00F707D2">
      <w:pPr>
        <w:pStyle w:val="ListParagraph"/>
        <w:numPr>
          <w:ilvl w:val="0"/>
          <w:numId w:val="5"/>
        </w:numPr>
        <w:spacing w:after="0" w:line="240" w:lineRule="auto"/>
      </w:pPr>
      <w:r>
        <w:t>Copy of the Warranty Deed</w:t>
      </w:r>
    </w:p>
    <w:p w14:paraId="718647F4" w14:textId="5697853F" w:rsidR="00F707D2" w:rsidRDefault="00F707D2" w:rsidP="00F707D2">
      <w:pPr>
        <w:pStyle w:val="ListParagraph"/>
        <w:numPr>
          <w:ilvl w:val="0"/>
          <w:numId w:val="5"/>
        </w:numPr>
        <w:spacing w:after="0" w:line="240" w:lineRule="auto"/>
      </w:pPr>
      <w:r>
        <w:t>Copy of the seller’s CD</w:t>
      </w:r>
    </w:p>
    <w:p w14:paraId="5C27CA45" w14:textId="684F4C46" w:rsidR="00F707D2" w:rsidRDefault="00F707D2" w:rsidP="00F707D2">
      <w:pPr>
        <w:pStyle w:val="ListParagraph"/>
        <w:numPr>
          <w:ilvl w:val="0"/>
          <w:numId w:val="5"/>
        </w:numPr>
        <w:spacing w:after="0" w:line="240" w:lineRule="auto"/>
      </w:pPr>
      <w:r>
        <w:t>Buyers CD</w:t>
      </w:r>
    </w:p>
    <w:p w14:paraId="5597098D" w14:textId="68080ADC" w:rsidR="00F707D2" w:rsidRDefault="00F707D2" w:rsidP="00F707D2">
      <w:pPr>
        <w:pStyle w:val="ListParagraph"/>
        <w:numPr>
          <w:ilvl w:val="0"/>
          <w:numId w:val="5"/>
        </w:numPr>
        <w:spacing w:after="0" w:line="240" w:lineRule="auto"/>
      </w:pPr>
      <w:r>
        <w:t>Sometimes settlement statements if requested</w:t>
      </w:r>
    </w:p>
    <w:p w14:paraId="1395CE4E" w14:textId="6CB2A9EE" w:rsidR="00503A98" w:rsidRDefault="00503A98" w:rsidP="00F707D2">
      <w:pPr>
        <w:pStyle w:val="ListParagraph"/>
        <w:numPr>
          <w:ilvl w:val="0"/>
          <w:numId w:val="5"/>
        </w:numPr>
        <w:spacing w:after="0" w:line="240" w:lineRule="auto"/>
      </w:pPr>
      <w:r>
        <w:t>Sometimes disbursement register if requested</w:t>
      </w:r>
    </w:p>
    <w:p w14:paraId="3917A29D" w14:textId="77777777" w:rsidR="00F707D2" w:rsidRDefault="00F707D2" w:rsidP="00F707D2">
      <w:pPr>
        <w:spacing w:after="0" w:line="240" w:lineRule="auto"/>
      </w:pPr>
    </w:p>
    <w:p w14:paraId="1A6D8F37" w14:textId="77777777" w:rsidR="00F707D2" w:rsidRDefault="00F707D2" w:rsidP="00F707D2">
      <w:pPr>
        <w:spacing w:after="0" w:line="240" w:lineRule="auto"/>
      </w:pPr>
    </w:p>
    <w:p w14:paraId="622F01A1" w14:textId="6B83B30C" w:rsidR="00F707D2" w:rsidRDefault="00F707D2" w:rsidP="00F707D2">
      <w:pPr>
        <w:spacing w:after="0" w:line="240" w:lineRule="auto"/>
      </w:pPr>
      <w:r>
        <w:t xml:space="preserve">After the transaction has closed and funded, </w:t>
      </w:r>
      <w:r w:rsidR="00503A98">
        <w:t xml:space="preserve">the </w:t>
      </w:r>
      <w:r>
        <w:t>escrow checklists have been completed, then escrow will typically send the completed title to the Title Policy department so they will issue the Lender’s Title Policy and the Owner’s Title Policies. All requirements have to be complete before the title policy is issued.</w:t>
      </w:r>
    </w:p>
    <w:p w14:paraId="3B169A7E" w14:textId="77777777" w:rsidR="00F707D2" w:rsidRDefault="00F707D2" w:rsidP="00F707D2">
      <w:pPr>
        <w:spacing w:after="0" w:line="240" w:lineRule="auto"/>
      </w:pPr>
    </w:p>
    <w:p w14:paraId="26E3C5F1" w14:textId="7E52010A" w:rsidR="00F707D2" w:rsidRDefault="00F707D2" w:rsidP="00F707D2">
      <w:pPr>
        <w:spacing w:after="0" w:line="240" w:lineRule="auto"/>
      </w:pPr>
      <w:r>
        <w:t>There is a common misconception that title companies release mortgages. Title companies pay off the mortgage, however the lender sends the paid off note/deed of trust to the public trustee to release. Title companies do not have these documents.  After the county Public Trustee processes the release, it is recorded at the county in which the Deed of Trust/lien was recorded. Title companies do often assist with private party payoffs and releases if the private money lender is unaware of the process.</w:t>
      </w:r>
    </w:p>
    <w:p w14:paraId="215A70F9" w14:textId="77777777" w:rsidR="00F707D2" w:rsidRDefault="00F707D2" w:rsidP="00F707D2">
      <w:pPr>
        <w:spacing w:after="0" w:line="240" w:lineRule="auto"/>
      </w:pPr>
    </w:p>
    <w:p w14:paraId="70CFA358" w14:textId="72A45B9A" w:rsidR="00F707D2" w:rsidRDefault="00F707D2" w:rsidP="00F707D2">
      <w:pPr>
        <w:spacing w:after="0" w:line="240" w:lineRule="auto"/>
      </w:pPr>
      <w:r>
        <w:t xml:space="preserve">Most title companies use secure portals to send documents as they contain private consumer information. By sending over unsecured email, those documents could be compromised. </w:t>
      </w:r>
    </w:p>
    <w:p w14:paraId="0E245FCD" w14:textId="77777777" w:rsidR="00F707D2" w:rsidRDefault="00F707D2" w:rsidP="00F707D2">
      <w:pPr>
        <w:spacing w:after="0" w:line="240" w:lineRule="auto"/>
      </w:pPr>
    </w:p>
    <w:p w14:paraId="08996A79" w14:textId="09C55A83" w:rsidR="00F707D2" w:rsidRDefault="00F707D2" w:rsidP="00F707D2">
      <w:pPr>
        <w:spacing w:after="0" w:line="240" w:lineRule="auto"/>
      </w:pPr>
      <w:r>
        <w:t>If a buyer or seller is missing documentation, the title company keeps the documents for a number of years. You may request copies again by reaching out to the escrow officer or other title professional within the company that closed the transaction.</w:t>
      </w:r>
      <w:r w:rsidR="00503A98">
        <w:t xml:space="preserve"> There are some documents that are proprietary to just the buyer, seller, lender or agents that are not shared with other parties they don’t apply to.</w:t>
      </w:r>
    </w:p>
    <w:p w14:paraId="1141C1E3" w14:textId="77777777" w:rsidR="00503A98" w:rsidRDefault="00503A98" w:rsidP="00F707D2">
      <w:pPr>
        <w:spacing w:after="0" w:line="240" w:lineRule="auto"/>
      </w:pPr>
    </w:p>
    <w:p w14:paraId="0536C7C6" w14:textId="77777777" w:rsidR="00503A98" w:rsidRDefault="00503A98" w:rsidP="00F707D2">
      <w:pPr>
        <w:spacing w:after="0" w:line="240" w:lineRule="auto"/>
      </w:pPr>
    </w:p>
    <w:p w14:paraId="44ECF070" w14:textId="77777777" w:rsidR="00503A98" w:rsidRDefault="00503A98" w:rsidP="00F707D2">
      <w:pPr>
        <w:spacing w:after="0" w:line="240" w:lineRule="auto"/>
      </w:pPr>
    </w:p>
    <w:p w14:paraId="74F2E4AE" w14:textId="77777777" w:rsidR="00503A98" w:rsidRDefault="00503A98" w:rsidP="00F707D2">
      <w:pPr>
        <w:spacing w:after="0" w:line="240" w:lineRule="auto"/>
      </w:pPr>
    </w:p>
    <w:p w14:paraId="03CDFA6B" w14:textId="77777777" w:rsidR="00503A98" w:rsidRDefault="00503A98" w:rsidP="00F707D2">
      <w:pPr>
        <w:spacing w:after="0" w:line="240" w:lineRule="auto"/>
      </w:pPr>
    </w:p>
    <w:p w14:paraId="4B2E2FFB" w14:textId="77777777" w:rsidR="00503A98" w:rsidRDefault="00503A98" w:rsidP="00F707D2">
      <w:pPr>
        <w:spacing w:after="0" w:line="240" w:lineRule="auto"/>
      </w:pPr>
    </w:p>
    <w:p w14:paraId="2A8CFF28" w14:textId="77777777" w:rsidR="00503A98" w:rsidRDefault="00503A98" w:rsidP="00F707D2">
      <w:pPr>
        <w:spacing w:after="0" w:line="240" w:lineRule="auto"/>
      </w:pPr>
    </w:p>
    <w:p w14:paraId="60A497E8" w14:textId="77777777" w:rsidR="00F707D2" w:rsidRDefault="00F707D2" w:rsidP="00F707D2">
      <w:pPr>
        <w:spacing w:after="0" w:line="240" w:lineRule="auto"/>
      </w:pPr>
    </w:p>
    <w:p w14:paraId="1C227971" w14:textId="77777777" w:rsidR="00F707D2" w:rsidRDefault="00F707D2" w:rsidP="00F707D2">
      <w:pPr>
        <w:spacing w:after="0" w:line="240" w:lineRule="auto"/>
      </w:pPr>
    </w:p>
    <w:p w14:paraId="359CE409" w14:textId="77777777" w:rsidR="005E4896" w:rsidRDefault="005E4896" w:rsidP="005E4896">
      <w:pPr>
        <w:spacing w:after="0" w:line="240" w:lineRule="auto"/>
      </w:pPr>
    </w:p>
    <w:p w14:paraId="47EB864D" w14:textId="77777777" w:rsidR="005E4896" w:rsidRDefault="005E4896" w:rsidP="005E4896">
      <w:pPr>
        <w:spacing w:after="0" w:line="240" w:lineRule="auto"/>
      </w:pPr>
    </w:p>
    <w:p w14:paraId="35D26499" w14:textId="77777777" w:rsidR="005E4896" w:rsidRDefault="005E4896" w:rsidP="005E4896">
      <w:pPr>
        <w:spacing w:after="0" w:line="240" w:lineRule="auto"/>
      </w:pPr>
    </w:p>
    <w:p w14:paraId="0B1BB231" w14:textId="77777777" w:rsidR="005E4896" w:rsidRPr="005E4896" w:rsidRDefault="005E4896"/>
    <w:p w14:paraId="0CBB5020" w14:textId="50B19FFC" w:rsidR="00A41D6E" w:rsidRPr="00DB704A" w:rsidRDefault="00DB704A">
      <w:pPr>
        <w:rPr>
          <w:b/>
          <w:bCs/>
        </w:rPr>
      </w:pPr>
      <w:r>
        <w:rPr>
          <w:b/>
          <w:bCs/>
          <w:noProof/>
        </w:rPr>
        <w:lastRenderedPageBreak/>
        <w:drawing>
          <wp:inline distT="0" distB="0" distL="0" distR="0" wp14:anchorId="41296C1E" wp14:editId="3080E0FB">
            <wp:extent cx="6858000" cy="1412240"/>
            <wp:effectExtent l="0" t="0" r="0" b="0"/>
            <wp:docPr id="193567377" name="Picture 2"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7377" name="Picture 2" descr="A close-up of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0" cy="1412240"/>
                    </a:xfrm>
                    <a:prstGeom prst="rect">
                      <a:avLst/>
                    </a:prstGeom>
                  </pic:spPr>
                </pic:pic>
              </a:graphicData>
            </a:graphic>
          </wp:inline>
        </w:drawing>
      </w:r>
    </w:p>
    <w:sectPr w:rsidR="00A41D6E" w:rsidRPr="00DB704A" w:rsidSect="00DB70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D1FFF"/>
    <w:multiLevelType w:val="hybridMultilevel"/>
    <w:tmpl w:val="5396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22D89"/>
    <w:multiLevelType w:val="hybridMultilevel"/>
    <w:tmpl w:val="52946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41210"/>
    <w:multiLevelType w:val="hybridMultilevel"/>
    <w:tmpl w:val="4600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213E3"/>
    <w:multiLevelType w:val="hybridMultilevel"/>
    <w:tmpl w:val="22F8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63A70"/>
    <w:multiLevelType w:val="hybridMultilevel"/>
    <w:tmpl w:val="42AE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683933">
    <w:abstractNumId w:val="4"/>
  </w:num>
  <w:num w:numId="2" w16cid:durableId="1418945080">
    <w:abstractNumId w:val="1"/>
  </w:num>
  <w:num w:numId="3" w16cid:durableId="1537228785">
    <w:abstractNumId w:val="2"/>
  </w:num>
  <w:num w:numId="4" w16cid:durableId="1242182626">
    <w:abstractNumId w:val="0"/>
  </w:num>
  <w:num w:numId="5" w16cid:durableId="1953438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6E"/>
    <w:rsid w:val="000D15DD"/>
    <w:rsid w:val="00141854"/>
    <w:rsid w:val="0026081A"/>
    <w:rsid w:val="00457622"/>
    <w:rsid w:val="00503A98"/>
    <w:rsid w:val="005B0175"/>
    <w:rsid w:val="005E4896"/>
    <w:rsid w:val="00707115"/>
    <w:rsid w:val="00A04678"/>
    <w:rsid w:val="00A41D6E"/>
    <w:rsid w:val="00DA34D6"/>
    <w:rsid w:val="00DB704A"/>
    <w:rsid w:val="00F27E40"/>
    <w:rsid w:val="00F70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CA24"/>
  <w15:chartTrackingRefBased/>
  <w15:docId w15:val="{448DAD3C-8076-4004-95C1-A91866F9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D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1D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1D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1D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1D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1D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1D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1D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1D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D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D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D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D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1D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D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D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D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D6E"/>
    <w:rPr>
      <w:rFonts w:eastAsiaTheme="majorEastAsia" w:cstheme="majorBidi"/>
      <w:color w:val="272727" w:themeColor="text1" w:themeTint="D8"/>
    </w:rPr>
  </w:style>
  <w:style w:type="paragraph" w:styleId="Title">
    <w:name w:val="Title"/>
    <w:basedOn w:val="Normal"/>
    <w:next w:val="Normal"/>
    <w:link w:val="TitleChar"/>
    <w:uiPriority w:val="10"/>
    <w:qFormat/>
    <w:rsid w:val="00A41D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D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D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D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D6E"/>
    <w:pPr>
      <w:spacing w:before="160"/>
      <w:jc w:val="center"/>
    </w:pPr>
    <w:rPr>
      <w:i/>
      <w:iCs/>
      <w:color w:val="404040" w:themeColor="text1" w:themeTint="BF"/>
    </w:rPr>
  </w:style>
  <w:style w:type="character" w:customStyle="1" w:styleId="QuoteChar">
    <w:name w:val="Quote Char"/>
    <w:basedOn w:val="DefaultParagraphFont"/>
    <w:link w:val="Quote"/>
    <w:uiPriority w:val="29"/>
    <w:rsid w:val="00A41D6E"/>
    <w:rPr>
      <w:i/>
      <w:iCs/>
      <w:color w:val="404040" w:themeColor="text1" w:themeTint="BF"/>
    </w:rPr>
  </w:style>
  <w:style w:type="paragraph" w:styleId="ListParagraph">
    <w:name w:val="List Paragraph"/>
    <w:basedOn w:val="Normal"/>
    <w:uiPriority w:val="34"/>
    <w:qFormat/>
    <w:rsid w:val="00A41D6E"/>
    <w:pPr>
      <w:ind w:left="720"/>
      <w:contextualSpacing/>
    </w:pPr>
  </w:style>
  <w:style w:type="character" w:styleId="IntenseEmphasis">
    <w:name w:val="Intense Emphasis"/>
    <w:basedOn w:val="DefaultParagraphFont"/>
    <w:uiPriority w:val="21"/>
    <w:qFormat/>
    <w:rsid w:val="00A41D6E"/>
    <w:rPr>
      <w:i/>
      <w:iCs/>
      <w:color w:val="0F4761" w:themeColor="accent1" w:themeShade="BF"/>
    </w:rPr>
  </w:style>
  <w:style w:type="paragraph" w:styleId="IntenseQuote">
    <w:name w:val="Intense Quote"/>
    <w:basedOn w:val="Normal"/>
    <w:next w:val="Normal"/>
    <w:link w:val="IntenseQuoteChar"/>
    <w:uiPriority w:val="30"/>
    <w:qFormat/>
    <w:rsid w:val="00A41D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D6E"/>
    <w:rPr>
      <w:i/>
      <w:iCs/>
      <w:color w:val="0F4761" w:themeColor="accent1" w:themeShade="BF"/>
    </w:rPr>
  </w:style>
  <w:style w:type="character" w:styleId="IntenseReference">
    <w:name w:val="Intense Reference"/>
    <w:basedOn w:val="DefaultParagraphFont"/>
    <w:uiPriority w:val="32"/>
    <w:qFormat/>
    <w:rsid w:val="00A41D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1020</TotalTime>
  <Pages>3</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WENDI AND SCOTT MILINKOV</dc:creator>
  <cp:keywords/>
  <dc:description/>
  <cp:lastModifiedBy>Wendi Milinkov</cp:lastModifiedBy>
  <cp:revision>3</cp:revision>
  <dcterms:created xsi:type="dcterms:W3CDTF">2024-10-30T17:33:00Z</dcterms:created>
  <dcterms:modified xsi:type="dcterms:W3CDTF">2024-10-31T10:55:00Z</dcterms:modified>
</cp:coreProperties>
</file>